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146 x 230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4007841087579</w:t>
      </w:r>
      <w:br/>
      <w:r>
        <w:rPr/>
        <w:t xml:space="preserve">• Applications: Extérieur</w:t>
      </w:r>
      <w:br/>
      <w:r>
        <w:rPr/>
        <w:t xml:space="preserve">• Emplacement, pièce: entrée</w:t>
      </w:r>
      <w:br/>
      <w:r>
        <w:rPr/>
        <w:t xml:space="preserve">• Coloris: argenté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087579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820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2026-06-01T01:24:43+02:00</dcterms:created>
  <dcterms:modified xsi:type="dcterms:W3CDTF">2026-06-01T01:24:43+02:00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